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71B" w:rsidRDefault="001B571B" w:rsidP="001B571B">
      <w:pPr>
        <w:jc w:val="center"/>
      </w:pPr>
      <w:r>
        <w:t>MOI/I=E</w:t>
      </w:r>
    </w:p>
    <w:p w:rsidR="001B571B" w:rsidRDefault="001B571B" w:rsidP="001B571B">
      <w:pPr>
        <w:jc w:val="center"/>
      </w:pPr>
      <w:r>
        <w:t>Énergie magnétique divisée par l'énergie d'inertie égale.</w:t>
      </w:r>
    </w:p>
    <w:p w:rsidR="001B571B" w:rsidRDefault="001B571B" w:rsidP="001B571B">
      <w:r>
        <w:t>Pour prouver au-delà de tout doute raisonnable, la capacité de ME/I=E ; elle peut être par exemple l'utilisation d'un seul aimant. Lorsqu'un aimant est utilisé en conjonction avec deux métaux et un fluide conducteur, deux réactions se produisent ; Premièrement une « réaction galvanique (transfert d'électrons) » et deuxièmement un « transfert magnéto-</w:t>
      </w:r>
      <w:proofErr w:type="spellStart"/>
      <w:r w:rsidR="00E9405F">
        <w:t>p</w:t>
      </w:r>
      <w:r>
        <w:t>ositronique</w:t>
      </w:r>
      <w:proofErr w:type="spellEnd"/>
      <w:r>
        <w:t> ». Lorsqu'il est construit correctement, l'appareil a la capacité de produire 12 kW par jour (la plupart des ménages n'utiliseront que 3 ou 4 kW par jour).</w:t>
      </w:r>
    </w:p>
    <w:p w:rsidR="00E161BF" w:rsidRDefault="001B571B" w:rsidP="001B571B">
      <w:r>
        <w:t>Lorsqu'un puissant aimant en néodyme (non recouvert de nickel) est utilisé en conjonction avec deux métaux magnéto-pragmatiques opposés séparés par une couche de cellulose dense mais semi-perméable imprégnée de (CH2OH</w:t>
      </w:r>
      <w:proofErr w:type="gramStart"/>
      <w:r>
        <w:t>)2</w:t>
      </w:r>
      <w:proofErr w:type="gramEnd"/>
      <w:r>
        <w:t xml:space="preserve"> (éthylène glycol) ; Les deux "réactions de transfert d'électrons" ci-dessus, celle des transferts galvaniques et </w:t>
      </w:r>
      <w:proofErr w:type="spellStart"/>
      <w:r>
        <w:t>positroniques</w:t>
      </w:r>
      <w:proofErr w:type="spellEnd"/>
      <w:r>
        <w:t>, le résultat est un transfert d'électrons à la fois positif et négatif (+/-e)^n-1. La condition fonctionnelle complète peut s'écrire :</w:t>
      </w:r>
    </w:p>
    <w:p w:rsidR="00E9405F" w:rsidRDefault="00E9405F" w:rsidP="001B571B">
      <w:pPr>
        <w:rPr>
          <w:rFonts w:eastAsia="MS Gothic"/>
          <w:b/>
          <w:bCs/>
          <w:sz w:val="16"/>
          <w:szCs w:val="16"/>
        </w:rPr>
      </w:pPr>
      <w:proofErr w:type="gramStart"/>
      <w:r>
        <w:rPr>
          <w:b/>
          <w:bCs/>
          <w:sz w:val="16"/>
          <w:szCs w:val="16"/>
        </w:rPr>
        <w:t>+</w:t>
      </w:r>
      <w:r>
        <w:rPr>
          <w:b/>
          <w:bCs/>
          <w:sz w:val="23"/>
          <w:szCs w:val="23"/>
        </w:rPr>
        <w:t>[</w:t>
      </w:r>
      <w:proofErr w:type="gramEnd"/>
      <w:r>
        <w:rPr>
          <w:b/>
          <w:bCs/>
          <w:sz w:val="23"/>
          <w:szCs w:val="23"/>
        </w:rPr>
        <w:t>Ne2FeB14TN52: Zn: [</w:t>
      </w:r>
      <w:r>
        <w:rPr>
          <w:rFonts w:ascii="Times New Roman" w:hAnsi="Times New Roman" w:cs="Times New Roman"/>
          <w:b/>
          <w:bCs/>
          <w:sz w:val="23"/>
          <w:szCs w:val="23"/>
        </w:rPr>
        <w:t>(C</w:t>
      </w:r>
      <w:r>
        <w:rPr>
          <w:rFonts w:ascii="Times New Roman" w:hAnsi="Times New Roman" w:cs="Times New Roman"/>
          <w:b/>
          <w:bCs/>
          <w:sz w:val="16"/>
          <w:szCs w:val="16"/>
        </w:rPr>
        <w:t>6</w:t>
      </w:r>
      <w:r>
        <w:rPr>
          <w:rFonts w:ascii="Times New Roman" w:hAnsi="Times New Roman" w:cs="Times New Roman"/>
          <w:b/>
          <w:bCs/>
          <w:sz w:val="23"/>
          <w:szCs w:val="23"/>
        </w:rPr>
        <w:t>H</w:t>
      </w:r>
      <w:r>
        <w:rPr>
          <w:rFonts w:ascii="Times New Roman" w:hAnsi="Times New Roman" w:cs="Times New Roman"/>
          <w:b/>
          <w:bCs/>
          <w:sz w:val="16"/>
          <w:szCs w:val="16"/>
        </w:rPr>
        <w:t>10</w:t>
      </w:r>
      <w:r>
        <w:rPr>
          <w:rFonts w:ascii="Times New Roman" w:hAnsi="Times New Roman" w:cs="Times New Roman"/>
          <w:b/>
          <w:bCs/>
          <w:sz w:val="23"/>
          <w:szCs w:val="23"/>
        </w:rPr>
        <w:t>O</w:t>
      </w:r>
      <w:r>
        <w:rPr>
          <w:rFonts w:ascii="Times New Roman" w:hAnsi="Times New Roman" w:cs="Times New Roman"/>
          <w:b/>
          <w:bCs/>
          <w:sz w:val="16"/>
          <w:szCs w:val="16"/>
        </w:rPr>
        <w:t>5</w:t>
      </w:r>
      <w:r>
        <w:rPr>
          <w:rFonts w:ascii="Times New Roman" w:hAnsi="Times New Roman" w:cs="Times New Roman"/>
          <w:b/>
          <w:bCs/>
          <w:sz w:val="23"/>
          <w:szCs w:val="23"/>
        </w:rPr>
        <w:t>)</w:t>
      </w:r>
      <w:r>
        <w:rPr>
          <w:rFonts w:ascii="Times New Roman" w:hAnsi="Times New Roman" w:cs="Times New Roman"/>
          <w:b/>
          <w:bCs/>
          <w:sz w:val="16"/>
          <w:szCs w:val="16"/>
        </w:rPr>
        <w:t>n</w:t>
      </w:r>
      <w:r>
        <w:rPr>
          <w:rFonts w:ascii="MS Gothic" w:eastAsia="MS Gothic" w:hAnsi="Times New Roman" w:cs="MS Gothic" w:hint="eastAsia"/>
          <w:sz w:val="23"/>
          <w:szCs w:val="23"/>
        </w:rPr>
        <w:t>⇔</w:t>
      </w:r>
      <w:r>
        <w:rPr>
          <w:rFonts w:eastAsia="MS Gothic"/>
          <w:b/>
          <w:bCs/>
          <w:sz w:val="23"/>
          <w:szCs w:val="23"/>
        </w:rPr>
        <w:t>(CH</w:t>
      </w:r>
      <w:r>
        <w:rPr>
          <w:rFonts w:eastAsia="MS Gothic"/>
          <w:b/>
          <w:bCs/>
          <w:sz w:val="16"/>
          <w:szCs w:val="16"/>
        </w:rPr>
        <w:t>2</w:t>
      </w:r>
      <w:r>
        <w:rPr>
          <w:rFonts w:eastAsia="MS Gothic"/>
          <w:b/>
          <w:bCs/>
          <w:sz w:val="23"/>
          <w:szCs w:val="23"/>
        </w:rPr>
        <w:t>OH)</w:t>
      </w:r>
      <w:r>
        <w:rPr>
          <w:rFonts w:eastAsia="MS Gothic"/>
          <w:b/>
          <w:bCs/>
          <w:sz w:val="16"/>
          <w:szCs w:val="16"/>
        </w:rPr>
        <w:t>2</w:t>
      </w:r>
      <w:r>
        <w:rPr>
          <w:rFonts w:eastAsia="MS Gothic"/>
          <w:b/>
          <w:bCs/>
          <w:sz w:val="23"/>
          <w:szCs w:val="23"/>
        </w:rPr>
        <w:t>)</w:t>
      </w:r>
      <w:r>
        <w:rPr>
          <w:rFonts w:ascii="MS Gothic" w:eastAsia="MS Gothic" w:cs="MS Gothic" w:hint="eastAsia"/>
          <w:sz w:val="23"/>
          <w:szCs w:val="23"/>
        </w:rPr>
        <w:t>⇔</w:t>
      </w:r>
      <w:r>
        <w:rPr>
          <w:rFonts w:ascii="Times New Roman" w:eastAsia="MS Gothic" w:hAnsi="Times New Roman" w:cs="Times New Roman"/>
          <w:b/>
          <w:bCs/>
          <w:sz w:val="23"/>
          <w:szCs w:val="23"/>
        </w:rPr>
        <w:t>(C</w:t>
      </w:r>
      <w:r>
        <w:rPr>
          <w:rFonts w:ascii="Times New Roman" w:eastAsia="MS Gothic" w:hAnsi="Times New Roman" w:cs="Times New Roman"/>
          <w:b/>
          <w:bCs/>
          <w:sz w:val="16"/>
          <w:szCs w:val="16"/>
        </w:rPr>
        <w:t>6</w:t>
      </w:r>
      <w:r>
        <w:rPr>
          <w:rFonts w:ascii="Times New Roman" w:eastAsia="MS Gothic" w:hAnsi="Times New Roman" w:cs="Times New Roman"/>
          <w:b/>
          <w:bCs/>
          <w:sz w:val="23"/>
          <w:szCs w:val="23"/>
        </w:rPr>
        <w:t>H</w:t>
      </w:r>
      <w:r>
        <w:rPr>
          <w:rFonts w:ascii="Times New Roman" w:eastAsia="MS Gothic" w:hAnsi="Times New Roman" w:cs="Times New Roman"/>
          <w:b/>
          <w:bCs/>
          <w:sz w:val="16"/>
          <w:szCs w:val="16"/>
        </w:rPr>
        <w:t>10</w:t>
      </w:r>
      <w:r>
        <w:rPr>
          <w:rFonts w:ascii="Times New Roman" w:eastAsia="MS Gothic" w:hAnsi="Times New Roman" w:cs="Times New Roman"/>
          <w:b/>
          <w:bCs/>
          <w:sz w:val="23"/>
          <w:szCs w:val="23"/>
        </w:rPr>
        <w:t>O</w:t>
      </w:r>
      <w:r>
        <w:rPr>
          <w:rFonts w:ascii="Times New Roman" w:eastAsia="MS Gothic" w:hAnsi="Times New Roman" w:cs="Times New Roman"/>
          <w:b/>
          <w:bCs/>
          <w:sz w:val="16"/>
          <w:szCs w:val="16"/>
        </w:rPr>
        <w:t>5</w:t>
      </w:r>
      <w:r>
        <w:rPr>
          <w:rFonts w:ascii="Times New Roman" w:eastAsia="MS Gothic" w:hAnsi="Times New Roman" w:cs="Times New Roman"/>
          <w:b/>
          <w:bCs/>
          <w:sz w:val="23"/>
          <w:szCs w:val="23"/>
        </w:rPr>
        <w:t>)</w:t>
      </w:r>
      <w:r>
        <w:rPr>
          <w:rFonts w:ascii="Times New Roman" w:eastAsia="MS Gothic" w:hAnsi="Times New Roman" w:cs="Times New Roman"/>
          <w:b/>
          <w:bCs/>
          <w:sz w:val="16"/>
          <w:szCs w:val="16"/>
        </w:rPr>
        <w:t>n</w:t>
      </w:r>
      <w:r>
        <w:rPr>
          <w:rFonts w:ascii="Times New Roman" w:eastAsia="MS Gothic" w:hAnsi="Times New Roman" w:cs="Times New Roman"/>
          <w:b/>
          <w:bCs/>
          <w:sz w:val="23"/>
          <w:szCs w:val="23"/>
        </w:rPr>
        <w:t>]</w:t>
      </w:r>
      <w:r>
        <w:rPr>
          <w:rFonts w:eastAsia="MS Gothic"/>
          <w:b/>
          <w:bCs/>
          <w:sz w:val="23"/>
          <w:szCs w:val="23"/>
        </w:rPr>
        <w:t>: Cu]</w:t>
      </w:r>
      <w:r>
        <w:rPr>
          <w:rFonts w:eastAsia="MS Gothic"/>
          <w:b/>
          <w:bCs/>
          <w:sz w:val="16"/>
          <w:szCs w:val="16"/>
        </w:rPr>
        <w:t>-</w:t>
      </w:r>
    </w:p>
    <w:p w:rsidR="008E3B1A" w:rsidRDefault="008E3B1A" w:rsidP="008E3B1A">
      <w:r>
        <w:t>Ne2FeB14 (</w:t>
      </w:r>
      <w:proofErr w:type="spellStart"/>
      <w:r>
        <w:t>Neodymium</w:t>
      </w:r>
      <w:proofErr w:type="spellEnd"/>
      <w:r>
        <w:t xml:space="preserve"> Ferrite Bore) Type 52 (aimant permanent) (non revêtu)</w:t>
      </w:r>
    </w:p>
    <w:p w:rsidR="008E3B1A" w:rsidRDefault="008E3B1A" w:rsidP="008E3B1A">
      <w:r>
        <w:t>Zn (Zinc – (feuille)</w:t>
      </w:r>
    </w:p>
    <w:p w:rsidR="008E3B1A" w:rsidRDefault="008E3B1A" w:rsidP="008E3B1A">
      <w:r>
        <w:t>(C6H10O5</w:t>
      </w:r>
      <w:proofErr w:type="gramStart"/>
      <w:r>
        <w:t>)n</w:t>
      </w:r>
      <w:proofErr w:type="gramEnd"/>
      <w:r>
        <w:t xml:space="preserve"> (molécule à chaîne linéaire de polysaccharide de cellulose avec des unités de glucose liées entre elles)</w:t>
      </w:r>
    </w:p>
    <w:p w:rsidR="008E3B1A" w:rsidRDefault="008E3B1A" w:rsidP="008E3B1A">
      <w:r>
        <w:t>(CH2OH</w:t>
      </w:r>
      <w:proofErr w:type="gramStart"/>
      <w:r>
        <w:t>)2</w:t>
      </w:r>
      <w:proofErr w:type="gramEnd"/>
      <w:r>
        <w:t xml:space="preserve"> (</w:t>
      </w:r>
      <w:proofErr w:type="spellStart"/>
      <w:r>
        <w:t>Éthaline</w:t>
      </w:r>
      <w:proofErr w:type="spellEnd"/>
      <w:r>
        <w:t xml:space="preserve"> Glycol)</w:t>
      </w:r>
    </w:p>
    <w:p w:rsidR="00E9405F" w:rsidRDefault="008E3B1A" w:rsidP="008E3B1A">
      <w:r>
        <w:t>Cu (Cuivre - Feuille)</w:t>
      </w:r>
    </w:p>
    <w:p w:rsidR="008E3B1A" w:rsidRDefault="008E3B1A" w:rsidP="008E3B1A">
      <w:r w:rsidRPr="008E3B1A">
        <w:t>Afin d'« extraire » l'énergie de la chaîne fonctionnelle (</w:t>
      </w:r>
      <w:proofErr w:type="spellStart"/>
      <w:r w:rsidRPr="008E3B1A">
        <w:t>Fc</w:t>
      </w:r>
      <w:proofErr w:type="spellEnd"/>
      <w:r w:rsidRPr="008E3B1A">
        <w:t xml:space="preserve">) ci-dessus, le </w:t>
      </w:r>
      <w:proofErr w:type="spellStart"/>
      <w:r w:rsidRPr="008E3B1A">
        <w:t>Fc</w:t>
      </w:r>
      <w:proofErr w:type="spellEnd"/>
      <w:r w:rsidRPr="008E3B1A">
        <w:t xml:space="preserve"> doit être placé dans un circuit électrique : connu sous le nom de « séquenceur de piège magnétique » ou </w:t>
      </w:r>
      <w:proofErr w:type="spellStart"/>
      <w:r w:rsidRPr="008E3B1A">
        <w:rPr>
          <w:b/>
        </w:rPr>
        <w:t>MagTrap</w:t>
      </w:r>
      <w:proofErr w:type="spellEnd"/>
      <w:r w:rsidRPr="008E3B1A">
        <w:t xml:space="preserve"> en abrégé, comme indiqué ci-dessous :</w:t>
      </w:r>
    </w:p>
    <w:p w:rsidR="001053EE" w:rsidRDefault="00A8327D" w:rsidP="008E3B1A">
      <w:r>
        <w:rPr>
          <w:noProof/>
          <w:lang w:eastAsia="fr-CA"/>
        </w:rPr>
        <w:lastRenderedPageBreak/>
        <w:drawing>
          <wp:inline distT="0" distB="0" distL="0" distR="0">
            <wp:extent cx="4147185" cy="3757613"/>
            <wp:effectExtent l="19050" t="0" r="5715" b="0"/>
            <wp:docPr id="2" name="Image 1" descr="C:\Users\Toshiba\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Sans titre.png"/>
                    <pic:cNvPicPr>
                      <a:picLocks noChangeAspect="1" noChangeArrowheads="1"/>
                    </pic:cNvPicPr>
                  </pic:nvPicPr>
                  <pic:blipFill>
                    <a:blip r:embed="rId4" cstate="print"/>
                    <a:srcRect/>
                    <a:stretch>
                      <a:fillRect/>
                    </a:stretch>
                  </pic:blipFill>
                  <pic:spPr bwMode="auto">
                    <a:xfrm>
                      <a:off x="0" y="0"/>
                      <a:ext cx="4146946" cy="3757396"/>
                    </a:xfrm>
                    <a:prstGeom prst="rect">
                      <a:avLst/>
                    </a:prstGeom>
                    <a:noFill/>
                    <a:ln w="9525">
                      <a:noFill/>
                      <a:miter lim="800000"/>
                      <a:headEnd/>
                      <a:tailEnd/>
                    </a:ln>
                  </pic:spPr>
                </pic:pic>
              </a:graphicData>
            </a:graphic>
          </wp:inline>
        </w:drawing>
      </w:r>
    </w:p>
    <w:p w:rsidR="008E16B8" w:rsidRDefault="00F428D3" w:rsidP="008E3B1A">
      <w:r w:rsidRPr="00F428D3">
        <w:t>Le « </w:t>
      </w:r>
      <w:proofErr w:type="spellStart"/>
      <w:r w:rsidRPr="00F428D3">
        <w:t>MagTrap</w:t>
      </w:r>
      <w:proofErr w:type="spellEnd"/>
      <w:r w:rsidRPr="00F428D3">
        <w:t xml:space="preserve"> » lui-même mesure 12 mm sur 3 mm avec 3 mm supplémentaires pour la structure composite, ou 12 mm x 6 mm par cellule, quatre cellules équivalent à UNE pile AA mais produisent 4,5 V ; Ainsi, le </w:t>
      </w:r>
      <w:proofErr w:type="spellStart"/>
      <w:r w:rsidRPr="00F428D3">
        <w:t>MagTrap</w:t>
      </w:r>
      <w:proofErr w:type="spellEnd"/>
      <w:r w:rsidRPr="00F428D3">
        <w:t xml:space="preserve"> (Set) est de taille égale à une pile AA de 1,5 V. Mais il peut produire 12Kw par jour !</w:t>
      </w:r>
    </w:p>
    <w:p w:rsidR="00CE31F0" w:rsidRDefault="00CE31F0" w:rsidP="008E3B1A">
      <w:r w:rsidRPr="00CE31F0">
        <w:t>En utilisant la configuration de diode « correcte », l'utilisation du condensateur et le placement de la résistance, une tension persistante et perpétuelle peut être produite, celle de 4,5 v perpétuelle ; Comme le montrent les graphiques « instantanés » ci-dessous :</w:t>
      </w:r>
    </w:p>
    <w:p w:rsidR="001053EE" w:rsidRDefault="00CE31F0" w:rsidP="008E3B1A">
      <w:r>
        <w:rPr>
          <w:noProof/>
          <w:lang w:eastAsia="fr-CA"/>
        </w:rPr>
        <w:lastRenderedPageBreak/>
        <w:drawing>
          <wp:inline distT="0" distB="0" distL="0" distR="0">
            <wp:extent cx="4453006" cy="4872038"/>
            <wp:effectExtent l="19050" t="0" r="4694"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4454435" cy="4873602"/>
                    </a:xfrm>
                    <a:prstGeom prst="rect">
                      <a:avLst/>
                    </a:prstGeom>
                    <a:noFill/>
                    <a:ln w="9525">
                      <a:noFill/>
                      <a:miter lim="800000"/>
                      <a:headEnd/>
                      <a:tailEnd/>
                    </a:ln>
                  </pic:spPr>
                </pic:pic>
              </a:graphicData>
            </a:graphic>
          </wp:inline>
        </w:drawing>
      </w:r>
    </w:p>
    <w:p w:rsidR="00CE31F0" w:rsidRDefault="00CE31F0" w:rsidP="008E3B1A">
      <w:r w:rsidRPr="00CE31F0">
        <w:t>La construction cellulaire peut être unique ou multiple en fonction de la tension requise et de l'utilisation souhaitée du produit. L'exemple ci-dessous est une configuration de 1 à 3 cellules.</w:t>
      </w:r>
      <w:r w:rsidR="00F546EC" w:rsidRPr="00F546EC">
        <w:t xml:space="preserve"> </w:t>
      </w:r>
      <w:r w:rsidR="00F546EC">
        <w:rPr>
          <w:noProof/>
          <w:lang w:eastAsia="fr-CA"/>
        </w:rPr>
        <w:drawing>
          <wp:inline distT="0" distB="0" distL="0" distR="0">
            <wp:extent cx="4317462" cy="2695710"/>
            <wp:effectExtent l="19050" t="0" r="6888"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4319135" cy="2696755"/>
                    </a:xfrm>
                    <a:prstGeom prst="rect">
                      <a:avLst/>
                    </a:prstGeom>
                    <a:noFill/>
                    <a:ln w="9525">
                      <a:noFill/>
                      <a:miter lim="800000"/>
                      <a:headEnd/>
                      <a:tailEnd/>
                    </a:ln>
                  </pic:spPr>
                </pic:pic>
              </a:graphicData>
            </a:graphic>
          </wp:inline>
        </w:drawing>
      </w:r>
    </w:p>
    <w:p w:rsidR="00F546EC" w:rsidRDefault="00F546EC" w:rsidP="008E3B1A"/>
    <w:p w:rsidR="00F546EC" w:rsidRDefault="00F546EC" w:rsidP="00F546EC">
      <w:r>
        <w:t xml:space="preserve">Un échantillonnage plus long indique une sortie très stable d'un 4,5 v persistant ; Lorsqu'ils sont échantillonnés sur des « jours », les mêmes résultats sont produits ; c'est-à-dire qu'après un "démarrage" initial de 20 secondes, la tension de sortie suit un schéma logarithmique jusqu'à ce que 4,5 V soit atteint, à ce moment (plus 20 secondes), le </w:t>
      </w:r>
      <w:proofErr w:type="spellStart"/>
      <w:r>
        <w:t>MagTrap</w:t>
      </w:r>
      <w:proofErr w:type="spellEnd"/>
      <w:r>
        <w:t xml:space="preserve"> se stabilise et la sortie de 4,5 V reste constante sans dégradation. </w:t>
      </w:r>
      <w:proofErr w:type="gramStart"/>
      <w:r>
        <w:t>donc</w:t>
      </w:r>
      <w:proofErr w:type="gramEnd"/>
      <w:r>
        <w:t xml:space="preserve"> jamais. Lors de la conversion de « tension » en « joules » (Énergie) à partir des deux réactions ; Il faut utiliser la NOUVELLE ÉQUATION de ME/I=E ; Où ME (énergie magnétique) est la partie résultante (ou) les volts collectés, I (inertie) devient l'infini (du) temps et E (énergie) devient la sortie de joules ; Il en résulte « L'inertie est le TEMPS (secondes) et ME est VOLTS... V/T= E. 4,5 / (1/t) = e » ; Et lors de la conversion en Watts / Kilowatts, "2,78 × 10−7 kWh est le taux d'absorption de joules" donne 4,5/30 = 0,15 joules par seconde ou 504 Watts (P(W) = E(J) / t(s)) La puissance en watts est égale à « l'énergie (joules) divisée par le temps en secondes. Ainsi, chaque seconde produit 0,15 Joules ou 0,15 Watts (par seconde)… Là, il y a 3600 secondes par heure ou 540 Watts par heure ou 12Kw par jour.</w:t>
      </w:r>
    </w:p>
    <w:p w:rsidR="00F546EC" w:rsidRDefault="00F546EC" w:rsidP="00F546EC">
      <w:r>
        <w:t xml:space="preserve">Lorsqu'une batterie </w:t>
      </w:r>
      <w:proofErr w:type="spellStart"/>
      <w:r>
        <w:t>NiMH</w:t>
      </w:r>
      <w:proofErr w:type="spellEnd"/>
      <w:r>
        <w:t xml:space="preserve"> (Nickel </w:t>
      </w:r>
      <w:proofErr w:type="spellStart"/>
      <w:r>
        <w:t>Metal</w:t>
      </w:r>
      <w:proofErr w:type="spellEnd"/>
      <w:r>
        <w:t xml:space="preserve"> Hydride) "rechargeable" est insérée dans le circuit, (pour agir comme une unité de stockage / décharge locale), on peut voir que la "charge" et la "décharge" se produisent même si le </w:t>
      </w:r>
      <w:proofErr w:type="spellStart"/>
      <w:r>
        <w:t>NiMH</w:t>
      </w:r>
      <w:proofErr w:type="spellEnd"/>
      <w:r>
        <w:t xml:space="preserve"> a été terminé " vidangé / vide", l'appareil était toujours capable d'offrir une charge et une décharge complète</w:t>
      </w:r>
    </w:p>
    <w:p w:rsidR="00215900" w:rsidRDefault="00E82354" w:rsidP="00F546EC">
      <w:r w:rsidRPr="00E82354">
        <w:rPr>
          <w:noProof/>
          <w:lang w:eastAsia="fr-CA"/>
        </w:rPr>
        <w:t xml:space="preserve">Ce qui précède montre une fréquence d'échantillonnage de 300 secondes (à) 200 ms : charge d'une batterie NiMH avec une banque de 4 cellules et décharge de la batterie NiMH via une résistance 1K. Lors de l'échantillonnage sur une heure, on peut voir que la décharge </w:t>
      </w:r>
      <w:r w:rsidRPr="00E82354">
        <w:rPr>
          <w:noProof/>
          <w:lang w:eastAsia="fr-CA"/>
        </w:rPr>
        <w:lastRenderedPageBreak/>
        <w:t>est une fonction logarithmique inverse de la charge (cela est dû à la résistance 1K).</w:t>
      </w:r>
      <w:r w:rsidR="00215900">
        <w:rPr>
          <w:noProof/>
          <w:lang w:eastAsia="fr-CA"/>
        </w:rPr>
        <w:drawing>
          <wp:inline distT="0" distB="0" distL="0" distR="0">
            <wp:extent cx="5486400" cy="3565729"/>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5486400" cy="3565729"/>
                    </a:xfrm>
                    <a:prstGeom prst="rect">
                      <a:avLst/>
                    </a:prstGeom>
                    <a:noFill/>
                    <a:ln w="9525">
                      <a:noFill/>
                      <a:miter lim="800000"/>
                      <a:headEnd/>
                      <a:tailEnd/>
                    </a:ln>
                  </pic:spPr>
                </pic:pic>
              </a:graphicData>
            </a:graphic>
          </wp:inline>
        </w:drawing>
      </w:r>
    </w:p>
    <w:p w:rsidR="00215900" w:rsidRDefault="00E82354" w:rsidP="00F546EC">
      <w:r w:rsidRPr="00E82354">
        <w:t xml:space="preserve">Ce qui précède montre une fréquence d'échantillonnage de 300 secondes (à) 200 ms : charge d'une batterie </w:t>
      </w:r>
      <w:proofErr w:type="spellStart"/>
      <w:r w:rsidRPr="00E82354">
        <w:t>NiMH</w:t>
      </w:r>
      <w:proofErr w:type="spellEnd"/>
      <w:r w:rsidRPr="00E82354">
        <w:t xml:space="preserve"> avec une banque de 4 cellules et décharge de la batterie </w:t>
      </w:r>
      <w:proofErr w:type="spellStart"/>
      <w:r w:rsidRPr="00E82354">
        <w:t>NiMH</w:t>
      </w:r>
      <w:proofErr w:type="spellEnd"/>
      <w:r w:rsidRPr="00E82354">
        <w:t xml:space="preserve"> via une résistance 1K. Lors de l'échantillonnage sur une heure, on peut voir que la décharge est une fonction logarithmique inverse de la charge (cela est dû à la résistance 1K).</w:t>
      </w:r>
    </w:p>
    <w:p w:rsidR="00E82354" w:rsidRDefault="00E82354" w:rsidP="00E82354">
      <w:r>
        <w:t>Les taux d'échantillonnage quantitatifs sur une heure d'utilisation « lourde » indiquent clairement une puissance de sortie de 3,40 mA après 60 minutes d'utilisation intensive, une sortie de plus de 16 mA après 15 minutes, 25 mA après 10 minutes et une décharge complète et persistante de plus de 60 mA pendant les cinq premières minutes utile.</w:t>
      </w:r>
    </w:p>
    <w:p w:rsidR="00E82354" w:rsidRDefault="00E82354" w:rsidP="00E82354">
      <w:r>
        <w:t xml:space="preserve">Lors de la réalisation d'un test de « charge » pour la charge ionique </w:t>
      </w:r>
      <w:proofErr w:type="spellStart"/>
      <w:r>
        <w:t>MagTrap</w:t>
      </w:r>
      <w:proofErr w:type="spellEnd"/>
      <w:r>
        <w:t xml:space="preserve"> (M.I.C.) et la « décharge de conversion électronique » (E.C.D) ; il y avait dix heures de charge complète, une heure de décharge ou un taux d'utilisation de 10:1 par cellule.</w:t>
      </w:r>
    </w:p>
    <w:p w:rsidR="00E82354" w:rsidRDefault="00E82354" w:rsidP="00E82354">
      <w:r>
        <w:rPr>
          <w:noProof/>
          <w:lang w:eastAsia="fr-CA"/>
        </w:rPr>
        <w:lastRenderedPageBreak/>
        <w:drawing>
          <wp:inline distT="0" distB="0" distL="0" distR="0">
            <wp:extent cx="4714875" cy="2457450"/>
            <wp:effectExtent l="1905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4714875" cy="2457450"/>
                    </a:xfrm>
                    <a:prstGeom prst="rect">
                      <a:avLst/>
                    </a:prstGeom>
                    <a:noFill/>
                    <a:ln w="9525">
                      <a:noFill/>
                      <a:miter lim="800000"/>
                      <a:headEnd/>
                      <a:tailEnd/>
                    </a:ln>
                  </pic:spPr>
                </pic:pic>
              </a:graphicData>
            </a:graphic>
          </wp:inline>
        </w:drawing>
      </w:r>
    </w:p>
    <w:p w:rsidR="00E82354" w:rsidRDefault="00E82354" w:rsidP="00E82354">
      <w:r>
        <w:t xml:space="preserve">En construisant une matrice </w:t>
      </w:r>
      <w:proofErr w:type="spellStart"/>
      <w:r>
        <w:t>MagTrap</w:t>
      </w:r>
      <w:proofErr w:type="spellEnd"/>
      <w:r>
        <w:t xml:space="preserve"> entièrement redondante de 20 cellules, les résultats suivants sont obtenus.</w:t>
      </w:r>
    </w:p>
    <w:p w:rsidR="00E82354" w:rsidRDefault="00E82354" w:rsidP="00E82354">
      <w:r>
        <w:t>L'appareil contient vingt cellules ; deux circuits commutés, un circuit de détection de puissance, un circuit utilisateur et un circuit haute disponibilité. Le résultat est un appareil de la taille d'un paquet de cigarettes qui peut fournir une puissance de sortie constante en mode utilisateur « simple », ou double puissance « à la demande », et, ou un mode « haute disponibilité » ; C'est juste DEUX CELLULES, les deux autres banques de NEUF CELLULES comme à divers stades de</w:t>
      </w:r>
    </w:p>
    <w:p w:rsidR="00E82354" w:rsidRDefault="00E82354" w:rsidP="00E82354">
      <w:r>
        <w:t>Fréquence d'échantillonnage de 3600 s à 200 ms : charge et décharge</w:t>
      </w:r>
    </w:p>
    <w:p w:rsidR="00E82354" w:rsidRDefault="00E82354" w:rsidP="00E82354">
      <w:r>
        <w:t>Intervalle d'échantillonnage de 36 000 s à 1 s : 10 heures de charge, 1 heure de décharge</w:t>
      </w:r>
      <w:r w:rsidR="00C56D74">
        <w:t>-</w:t>
      </w:r>
      <w:r>
        <w:t>charge, le circuit d'alimentation détecte la cellule de charge élevée et la cellule de charge faible et commute instantanément l'alimentation. Le processus est auto-surveillé, autogéré, autoalimenté ; Une unité d'alimentation tout-en-un pour n'importe quel appareil, quel que soit l'emplacement).</w:t>
      </w:r>
    </w:p>
    <w:p w:rsidR="00E82354" w:rsidRDefault="00E82354" w:rsidP="00E82354">
      <w:r>
        <w:t xml:space="preserve">Le </w:t>
      </w:r>
      <w:proofErr w:type="spellStart"/>
      <w:r>
        <w:t>MagTrap</w:t>
      </w:r>
      <w:proofErr w:type="spellEnd"/>
      <w:r>
        <w:t xml:space="preserve"> peut être installé en interne sur n'importe quel périphérique de gestion connecté « Internet » (routeur, commutateurs, ponts, routeurs </w:t>
      </w:r>
      <w:proofErr w:type="spellStart"/>
      <w:r>
        <w:t>Wi-Fi</w:t>
      </w:r>
      <w:proofErr w:type="spellEnd"/>
      <w:r>
        <w:t xml:space="preserve">, serveurs, périphériques Web, alimentations et périphériques de redondance). Le </w:t>
      </w:r>
      <w:proofErr w:type="spellStart"/>
      <w:r>
        <w:t>MagTrap</w:t>
      </w:r>
      <w:proofErr w:type="spellEnd"/>
      <w:r>
        <w:t xml:space="preserve"> est très portable et plus polyvalent qu'un œuf ! Il peut alimenter n'importe quoi à partir de 1,5 V et l'unité n'a jamais besoin d'être connectée à une alimentation commerciale. Le résultat est que le </w:t>
      </w:r>
      <w:proofErr w:type="spellStart"/>
      <w:r>
        <w:t>MagTrap</w:t>
      </w:r>
      <w:proofErr w:type="spellEnd"/>
      <w:r>
        <w:t xml:space="preserve"> est un ARTICLE UNIQUE pour :</w:t>
      </w:r>
    </w:p>
    <w:p w:rsidR="00E82354" w:rsidRDefault="00E82354" w:rsidP="00E82354">
      <w:r>
        <w:t xml:space="preserve">H.P. Cisco, Dell, AT&amp;T, </w:t>
      </w:r>
      <w:proofErr w:type="spellStart"/>
      <w:r>
        <w:t>Sky</w:t>
      </w:r>
      <w:proofErr w:type="spellEnd"/>
      <w:r>
        <w:t>, Apple, Sony, LG pour n'en citer que quelques-uns. Il a un marché mondial de combien de milliards ? Tous sauvegardés avec la tranquillité de savoir que l'appareil ci-dessus NE PEUT PAS perdre sa puissance !</w:t>
      </w:r>
    </w:p>
    <w:p w:rsidR="00E82354" w:rsidRDefault="00E82354" w:rsidP="00E82354">
      <w:r>
        <w:t xml:space="preserve">Comme la puissance du </w:t>
      </w:r>
      <w:proofErr w:type="spellStart"/>
      <w:r>
        <w:t>MagTrap</w:t>
      </w:r>
      <w:proofErr w:type="spellEnd"/>
      <w:r>
        <w:t xml:space="preserve"> est dérivée de l'équation de puissance universelle de ME/I=E qui extrait les électrons libres volts e+ du champ électromagnétique localisé ; Le </w:t>
      </w:r>
      <w:proofErr w:type="spellStart"/>
      <w:r>
        <w:lastRenderedPageBreak/>
        <w:t>MagTrap</w:t>
      </w:r>
      <w:proofErr w:type="spellEnd"/>
      <w:r>
        <w:t xml:space="preserve"> fonctionnera en théorie à partir de maintenant jusqu'à la fin des temps et n'aura jamais besoin d'être rechargé.</w:t>
      </w:r>
    </w:p>
    <w:p w:rsidR="00E82354" w:rsidRDefault="00E82354" w:rsidP="00E82354">
      <w:proofErr w:type="spellStart"/>
      <w:r>
        <w:t>MagTrap</w:t>
      </w:r>
      <w:proofErr w:type="spellEnd"/>
      <w:r>
        <w:t xml:space="preserve"> a été pensé et conçu pour une évolutivité maximale sans restriction ; tout en restant portable. Lorsque </w:t>
      </w:r>
      <w:proofErr w:type="spellStart"/>
      <w:r>
        <w:t>MagTrap</w:t>
      </w:r>
      <w:proofErr w:type="spellEnd"/>
      <w:r>
        <w:t xml:space="preserve"> est interconnecté avec les transferts Lithium Ion actuels, </w:t>
      </w:r>
      <w:proofErr w:type="spellStart"/>
      <w:r>
        <w:t>MagTrap</w:t>
      </w:r>
      <w:proofErr w:type="spellEnd"/>
      <w:r>
        <w:t xml:space="preserve"> a créé une toute nouvelle ou prochaine génération de fourniture d'énergie pour les masses.</w:t>
      </w:r>
    </w:p>
    <w:p w:rsidR="00E82354" w:rsidRDefault="00E82354" w:rsidP="00E82354">
      <w:r>
        <w:t xml:space="preserve">Une partie de la « puissance » actuelle du lithium-ion est utilisée dans le transport, mais le transport est limité à environ 400 à 600 kilomètres. Lorsque la technologie actuelle est « améliorée » avec une alimentation </w:t>
      </w:r>
      <w:proofErr w:type="spellStart"/>
      <w:r>
        <w:t>Mag</w:t>
      </w:r>
      <w:proofErr w:type="spellEnd"/>
      <w:r w:rsidR="00892A6A">
        <w:t>-</w:t>
      </w:r>
      <w:proofErr w:type="spellStart"/>
      <w:r>
        <w:t>Trap</w:t>
      </w:r>
      <w:proofErr w:type="spellEnd"/>
      <w:r>
        <w:t xml:space="preserve"> ou une construction </w:t>
      </w:r>
      <w:proofErr w:type="spellStart"/>
      <w:r>
        <w:t>Mag</w:t>
      </w:r>
      <w:proofErr w:type="spellEnd"/>
      <w:r w:rsidR="00892A6A">
        <w:t>-</w:t>
      </w:r>
      <w:proofErr w:type="spellStart"/>
      <w:r>
        <w:t>Trap</w:t>
      </w:r>
      <w:proofErr w:type="spellEnd"/>
      <w:r>
        <w:t xml:space="preserve">, la limitation de la distance parcourue n'a aucune importance, car le </w:t>
      </w:r>
      <w:proofErr w:type="spellStart"/>
      <w:r>
        <w:t>Mag</w:t>
      </w:r>
      <w:proofErr w:type="spellEnd"/>
      <w:r w:rsidR="00892A6A">
        <w:t>-</w:t>
      </w:r>
      <w:proofErr w:type="spellStart"/>
      <w:r>
        <w:t>Trap</w:t>
      </w:r>
      <w:proofErr w:type="spellEnd"/>
      <w:r>
        <w:t xml:space="preserve"> fournira une puissance instantanée et infinie à n'importe quelle unité de stockage au lithium-ion.</w:t>
      </w:r>
    </w:p>
    <w:p w:rsidR="00E82354" w:rsidRDefault="00E82354" w:rsidP="00E82354">
      <w:r>
        <w:t xml:space="preserve">Le </w:t>
      </w:r>
      <w:proofErr w:type="spellStart"/>
      <w:r>
        <w:t>Mag</w:t>
      </w:r>
      <w:proofErr w:type="spellEnd"/>
      <w:r w:rsidR="006E1F4F">
        <w:t>-</w:t>
      </w:r>
      <w:proofErr w:type="spellStart"/>
      <w:r>
        <w:t>Trap</w:t>
      </w:r>
      <w:proofErr w:type="spellEnd"/>
      <w:r>
        <w:t>, lorsqu'il est installé sur N'IMPORTE QUEL appareil, réduit l'empreinte carbone de cet appareil à ZÉRO ; et réduit le coût de fonctionnement global au « remplacement des pièces mécaniques » ; il n'y a PAS de frais pour la puissance que l'unité consomme. Le coût le plus élevé pour faire fonctionner un appareil est le coût de l'électricité qui a maintenant été supprimé.</w:t>
      </w:r>
    </w:p>
    <w:p w:rsidR="00E82354" w:rsidRDefault="00E82354" w:rsidP="00986FAB">
      <w:pPr>
        <w:jc w:val="center"/>
      </w:pPr>
      <w:r>
        <w:t>*** La section du document reste en brouillon ***</w:t>
      </w:r>
    </w:p>
    <w:sectPr w:rsidR="00E82354"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1B571B"/>
    <w:rsid w:val="00071EB6"/>
    <w:rsid w:val="001053EE"/>
    <w:rsid w:val="001B571B"/>
    <w:rsid w:val="00215900"/>
    <w:rsid w:val="002E5A16"/>
    <w:rsid w:val="004F1E6D"/>
    <w:rsid w:val="006E1F4F"/>
    <w:rsid w:val="006F6B40"/>
    <w:rsid w:val="007624B2"/>
    <w:rsid w:val="00804C04"/>
    <w:rsid w:val="00892A6A"/>
    <w:rsid w:val="008E16B8"/>
    <w:rsid w:val="008E3B1A"/>
    <w:rsid w:val="00986FAB"/>
    <w:rsid w:val="00A8327D"/>
    <w:rsid w:val="00C56D74"/>
    <w:rsid w:val="00C65F6F"/>
    <w:rsid w:val="00CE31F0"/>
    <w:rsid w:val="00D742EF"/>
    <w:rsid w:val="00E1186A"/>
    <w:rsid w:val="00E161BF"/>
    <w:rsid w:val="00E82354"/>
    <w:rsid w:val="00E9405F"/>
    <w:rsid w:val="00EA098C"/>
    <w:rsid w:val="00F428D3"/>
    <w:rsid w:val="00F459FA"/>
    <w:rsid w:val="00F546EC"/>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paragraph" w:styleId="Textedebulles">
    <w:name w:val="Balloon Text"/>
    <w:basedOn w:val="Normal"/>
    <w:link w:val="TextedebullesCar"/>
    <w:uiPriority w:val="99"/>
    <w:semiHidden/>
    <w:unhideWhenUsed/>
    <w:rsid w:val="001053E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53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1304</Words>
  <Characters>7177</Characters>
  <Application>Microsoft Office Word</Application>
  <DocSecurity>0</DocSecurity>
  <Lines>59</Lines>
  <Paragraphs>16</Paragraphs>
  <ScaleCrop>false</ScaleCrop>
  <Company/>
  <LinksUpToDate>false</LinksUpToDate>
  <CharactersWithSpaces>8465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19</cp:revision>
  <dcterms:created xsi:type="dcterms:W3CDTF">2021-07-01T23:07:00Z</dcterms:created>
  <dcterms:modified xsi:type="dcterms:W3CDTF">2021-07-01T23:55:00Z</dcterms:modified>
</cp:coreProperties>
</file>